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365DA" w14:textId="150AFA16" w:rsidR="00436C32" w:rsidRPr="0064318B" w:rsidRDefault="00436C32" w:rsidP="00436C32">
      <w:pPr>
        <w:pStyle w:val="BasicParagraph"/>
        <w:rPr>
          <w:rFonts w:ascii="DIN 2014" w:hAnsi="DIN 2014" w:cs="Calibri"/>
          <w:sz w:val="20"/>
          <w:szCs w:val="20"/>
        </w:rPr>
      </w:pPr>
      <w:r w:rsidRPr="0064318B">
        <w:rPr>
          <w:rFonts w:ascii="DIN 2014" w:hAnsi="DIN 2014" w:cs="Calibri"/>
          <w:noProof/>
          <w:sz w:val="20"/>
          <w:szCs w:val="20"/>
        </w:rPr>
        <w:drawing>
          <wp:anchor distT="0" distB="0" distL="114300" distR="114300" simplePos="0" relativeHeight="251658240" behindDoc="0" locked="0" layoutInCell="1" allowOverlap="1" wp14:anchorId="56DD29F2" wp14:editId="0D342F23">
            <wp:simplePos x="0" y="0"/>
            <wp:positionH relativeFrom="column">
              <wp:posOffset>5249545</wp:posOffset>
            </wp:positionH>
            <wp:positionV relativeFrom="paragraph">
              <wp:posOffset>0</wp:posOffset>
            </wp:positionV>
            <wp:extent cx="1590675" cy="990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ck Awards Black.png"/>
                    <pic:cNvPicPr/>
                  </pic:nvPicPr>
                  <pic:blipFill>
                    <a:blip r:embed="rId7">
                      <a:extLst>
                        <a:ext uri="{28A0092B-C50C-407E-A947-70E740481C1C}">
                          <a14:useLocalDpi xmlns:a14="http://schemas.microsoft.com/office/drawing/2010/main" val="0"/>
                        </a:ext>
                      </a:extLst>
                    </a:blip>
                    <a:stretch>
                      <a:fillRect/>
                    </a:stretch>
                  </pic:blipFill>
                  <pic:spPr>
                    <a:xfrm>
                      <a:off x="0" y="0"/>
                      <a:ext cx="1590675" cy="990600"/>
                    </a:xfrm>
                    <a:prstGeom prst="rect">
                      <a:avLst/>
                    </a:prstGeom>
                  </pic:spPr>
                </pic:pic>
              </a:graphicData>
            </a:graphic>
            <wp14:sizeRelH relativeFrom="page">
              <wp14:pctWidth>0</wp14:pctWidth>
            </wp14:sizeRelH>
            <wp14:sizeRelV relativeFrom="page">
              <wp14:pctHeight>0</wp14:pctHeight>
            </wp14:sizeRelV>
          </wp:anchor>
        </w:drawing>
      </w:r>
      <w:r w:rsidRPr="0064318B">
        <w:rPr>
          <w:rFonts w:ascii="DIN 2014" w:hAnsi="DIN 2014" w:cs="Calibri"/>
          <w:sz w:val="20"/>
          <w:szCs w:val="20"/>
        </w:rPr>
        <w:t>TERMS AND CONDITIONS OF ENTRY</w:t>
      </w:r>
    </w:p>
    <w:p w14:paraId="14CFBA65" w14:textId="2334761D" w:rsidR="00436C32" w:rsidRPr="0064318B" w:rsidRDefault="00436C32" w:rsidP="00436C32">
      <w:pPr>
        <w:pStyle w:val="BasicParagraph"/>
        <w:rPr>
          <w:rFonts w:ascii="DIN 2014" w:hAnsi="DIN 2014" w:cs="Calibri"/>
          <w:sz w:val="20"/>
          <w:szCs w:val="20"/>
        </w:rPr>
      </w:pPr>
    </w:p>
    <w:p w14:paraId="2EA3EF7B" w14:textId="62271D52" w:rsidR="00436C32" w:rsidRPr="0064318B" w:rsidRDefault="00436C32" w:rsidP="00436C32">
      <w:pPr>
        <w:pStyle w:val="BasicParagraph"/>
        <w:rPr>
          <w:rFonts w:ascii="DIN 2014" w:hAnsi="DIN 2014" w:cs="Calibri"/>
          <w:sz w:val="20"/>
          <w:szCs w:val="20"/>
        </w:rPr>
      </w:pPr>
    </w:p>
    <w:p w14:paraId="119CB240" w14:textId="6128E1F3" w:rsidR="00436C32" w:rsidRPr="0064318B" w:rsidRDefault="00436C32" w:rsidP="00436C32">
      <w:pPr>
        <w:pStyle w:val="BasicParagraph"/>
        <w:rPr>
          <w:rFonts w:ascii="DIN 2014" w:hAnsi="DIN 2014" w:cs="Calibri"/>
          <w:sz w:val="20"/>
          <w:szCs w:val="20"/>
        </w:rPr>
      </w:pPr>
    </w:p>
    <w:p w14:paraId="78711DD0" w14:textId="77777777" w:rsidR="00436C32" w:rsidRPr="0064318B" w:rsidRDefault="00436C32" w:rsidP="00436C32">
      <w:pPr>
        <w:pStyle w:val="BasicParagraph"/>
        <w:rPr>
          <w:rFonts w:ascii="DIN 2014" w:hAnsi="DIN 2014" w:cs="Calibri"/>
          <w:sz w:val="20"/>
          <w:szCs w:val="20"/>
        </w:rPr>
      </w:pPr>
    </w:p>
    <w:p w14:paraId="0DD5CDEA" w14:textId="07EB79E0" w:rsidR="00436C32" w:rsidRPr="0064318B" w:rsidRDefault="00436C32" w:rsidP="00436C32">
      <w:pPr>
        <w:pStyle w:val="BasicParagraph"/>
        <w:rPr>
          <w:rFonts w:ascii="DIN 2014" w:hAnsi="DIN 2014" w:cs="Calibri"/>
          <w:sz w:val="20"/>
          <w:szCs w:val="20"/>
        </w:rPr>
      </w:pPr>
    </w:p>
    <w:p w14:paraId="5F99A0F8" w14:textId="512DA778" w:rsidR="00436C32" w:rsidRPr="0064318B" w:rsidRDefault="00436C32" w:rsidP="00436C32">
      <w:pPr>
        <w:pStyle w:val="BasicParagraph"/>
        <w:jc w:val="both"/>
        <w:rPr>
          <w:rFonts w:ascii="DIN 2014" w:hAnsi="DIN 2014" w:cs="Calibri"/>
          <w:sz w:val="20"/>
          <w:szCs w:val="20"/>
        </w:rPr>
      </w:pPr>
      <w:r w:rsidRPr="0064318B">
        <w:rPr>
          <w:rFonts w:ascii="DIN 2014" w:hAnsi="DIN 2014" w:cs="Calibri"/>
          <w:sz w:val="20"/>
          <w:szCs w:val="20"/>
        </w:rPr>
        <w:t>The Brick Awards is delivered by The Brick Development Association Ltd (BDA). The following terms therefore are enforceable by the BDA at its absolute discretion.</w:t>
      </w:r>
    </w:p>
    <w:p w14:paraId="4C294967" w14:textId="66F1C38A" w:rsidR="00436C32" w:rsidRPr="0064318B" w:rsidRDefault="00436C32" w:rsidP="00436C32">
      <w:pPr>
        <w:pStyle w:val="BasicParagraph"/>
        <w:jc w:val="both"/>
        <w:rPr>
          <w:rFonts w:ascii="DIN 2014" w:hAnsi="DIN 2014" w:cs="Calibri"/>
          <w:sz w:val="20"/>
          <w:szCs w:val="20"/>
        </w:rPr>
      </w:pPr>
      <w:bookmarkStart w:id="0" w:name="_GoBack"/>
      <w:bookmarkEnd w:id="0"/>
    </w:p>
    <w:p w14:paraId="07A3CB48" w14:textId="439D8234" w:rsidR="00436C32" w:rsidRPr="0064318B" w:rsidRDefault="00436C32" w:rsidP="00436C32">
      <w:pPr>
        <w:pStyle w:val="ListParagraph"/>
        <w:numPr>
          <w:ilvl w:val="0"/>
          <w:numId w:val="2"/>
        </w:numPr>
        <w:ind w:left="360"/>
        <w:jc w:val="both"/>
        <w:rPr>
          <w:rFonts w:ascii="DIN 2014" w:hAnsi="DIN 2014" w:cs="Calibri"/>
          <w:sz w:val="20"/>
          <w:szCs w:val="20"/>
        </w:rPr>
      </w:pPr>
      <w:r w:rsidRPr="0064318B">
        <w:rPr>
          <w:rFonts w:ascii="DIN 2014" w:hAnsi="DIN 2014" w:cs="Calibri"/>
          <w:sz w:val="20"/>
          <w:szCs w:val="20"/>
        </w:rPr>
        <w:t>In submitting an entry, entrants, their employers, associated staff and agents, confirm that they will abide by these conditions. The same parties will ensure the information provided is correct and indemnify the Association against all costs and claims that may arise as a consequence of their</w:t>
      </w:r>
      <w:r w:rsidR="006C1969" w:rsidRPr="0064318B">
        <w:rPr>
          <w:rFonts w:ascii="DIN 2014" w:hAnsi="DIN 2014" w:cs="Calibri"/>
          <w:sz w:val="20"/>
          <w:szCs w:val="20"/>
        </w:rPr>
        <w:t xml:space="preserve"> entry</w:t>
      </w:r>
    </w:p>
    <w:p w14:paraId="4EFD184F" w14:textId="605D7554" w:rsidR="00436C32" w:rsidRPr="0064318B" w:rsidRDefault="00436C32" w:rsidP="00436C32">
      <w:pPr>
        <w:pStyle w:val="ListParagraph"/>
        <w:numPr>
          <w:ilvl w:val="0"/>
          <w:numId w:val="2"/>
        </w:numPr>
        <w:ind w:left="360"/>
        <w:jc w:val="both"/>
        <w:rPr>
          <w:rFonts w:ascii="DIN 2014" w:hAnsi="DIN 2014"/>
          <w:sz w:val="20"/>
          <w:szCs w:val="20"/>
        </w:rPr>
      </w:pPr>
      <w:r w:rsidRPr="0064318B">
        <w:rPr>
          <w:rFonts w:ascii="DIN 2014" w:hAnsi="DIN 2014" w:cs="Calibri"/>
          <w:sz w:val="20"/>
          <w:szCs w:val="20"/>
        </w:rPr>
        <w:t>By Registering in the Brick Awards process Entrants agree to the following terms</w:t>
      </w:r>
    </w:p>
    <w:p w14:paraId="0F9F0406" w14:textId="47E7929A" w:rsidR="00436C32" w:rsidRPr="0064318B" w:rsidRDefault="00436C32" w:rsidP="00436C32">
      <w:pPr>
        <w:pStyle w:val="BasicParagraph"/>
        <w:jc w:val="both"/>
        <w:rPr>
          <w:rFonts w:ascii="DIN 2014" w:hAnsi="DIN 2014" w:cs="Calibri"/>
          <w:sz w:val="20"/>
          <w:szCs w:val="20"/>
        </w:rPr>
      </w:pPr>
    </w:p>
    <w:p w14:paraId="36AFB2D9" w14:textId="77777777" w:rsidR="00436C32" w:rsidRPr="0064318B" w:rsidRDefault="00436C32" w:rsidP="00436C32">
      <w:pPr>
        <w:pStyle w:val="BasicParagraph"/>
        <w:jc w:val="both"/>
        <w:rPr>
          <w:rFonts w:ascii="DIN 2014" w:hAnsi="DIN 2014" w:cs="Calibri"/>
          <w:sz w:val="20"/>
          <w:szCs w:val="20"/>
          <w:u w:val="single"/>
        </w:rPr>
      </w:pPr>
      <w:r w:rsidRPr="0064318B">
        <w:rPr>
          <w:rFonts w:ascii="DIN 2014" w:hAnsi="DIN 2014" w:cs="Calibri"/>
          <w:sz w:val="20"/>
          <w:szCs w:val="20"/>
          <w:u w:val="single"/>
        </w:rPr>
        <w:t>Eligibility</w:t>
      </w:r>
    </w:p>
    <w:p w14:paraId="10EE22AE" w14:textId="1AB53359" w:rsidR="00436C32" w:rsidRPr="0064318B" w:rsidRDefault="00436C32" w:rsidP="00436C32">
      <w:pPr>
        <w:pStyle w:val="BasicParagraph"/>
        <w:jc w:val="both"/>
        <w:rPr>
          <w:rFonts w:ascii="DIN 2014" w:hAnsi="DIN 2014" w:cs="Calibri"/>
          <w:sz w:val="20"/>
          <w:szCs w:val="20"/>
        </w:rPr>
      </w:pPr>
    </w:p>
    <w:p w14:paraId="347F9169" w14:textId="41919497"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 xml:space="preserve">All projects entered must have been completed within the 2 years immediately preceding the date </w:t>
      </w:r>
      <w:r w:rsidR="003B649E">
        <w:rPr>
          <w:rFonts w:ascii="DIN 2014" w:hAnsi="DIN 2014" w:cs="Calibri"/>
          <w:sz w:val="20"/>
          <w:szCs w:val="20"/>
        </w:rPr>
        <w:t>of entry, with the exception of the House Builder category in which</w:t>
      </w:r>
      <w:r w:rsidR="00930B24">
        <w:rPr>
          <w:rFonts w:ascii="DIN 2014" w:hAnsi="DIN 2014" w:cs="Calibri"/>
          <w:sz w:val="20"/>
          <w:szCs w:val="20"/>
        </w:rPr>
        <w:t>,</w:t>
      </w:r>
      <w:r w:rsidR="003B649E">
        <w:rPr>
          <w:rFonts w:ascii="DIN 2014" w:hAnsi="DIN 2014" w:cs="Calibri"/>
          <w:sz w:val="20"/>
          <w:szCs w:val="20"/>
        </w:rPr>
        <w:t xml:space="preserve"> </w:t>
      </w:r>
      <w:r w:rsidR="006F35E7">
        <w:rPr>
          <w:rFonts w:ascii="DIN 2014" w:hAnsi="DIN 2014" w:cs="Calibri"/>
          <w:sz w:val="20"/>
          <w:szCs w:val="20"/>
        </w:rPr>
        <w:t>projects completed within the last three years may be entered</w:t>
      </w:r>
    </w:p>
    <w:p w14:paraId="2C85E6B8" w14:textId="20FA7886"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All projects must be situated in the UK, except those entered into the Worldwide category</w:t>
      </w:r>
    </w:p>
    <w:p w14:paraId="5F9FB078" w14:textId="16B7ADC8"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 xml:space="preserve">All projects must substantially use BDA-member bricks, except those entered into </w:t>
      </w:r>
      <w:r w:rsidR="00CC4938">
        <w:rPr>
          <w:rFonts w:ascii="DIN 2014" w:hAnsi="DIN 2014" w:cs="Calibri"/>
          <w:sz w:val="20"/>
          <w:szCs w:val="20"/>
        </w:rPr>
        <w:t xml:space="preserve">categories </w:t>
      </w:r>
      <w:r w:rsidR="00584572">
        <w:rPr>
          <w:rFonts w:ascii="DIN 2014" w:hAnsi="DIN 2014" w:cs="Calibri"/>
          <w:sz w:val="20"/>
          <w:szCs w:val="20"/>
        </w:rPr>
        <w:t xml:space="preserve">exempt, </w:t>
      </w:r>
      <w:r w:rsidR="00CC4938">
        <w:rPr>
          <w:rFonts w:ascii="DIN 2014" w:hAnsi="DIN 2014" w:cs="Calibri"/>
          <w:sz w:val="20"/>
          <w:szCs w:val="20"/>
        </w:rPr>
        <w:t>whether in whole</w:t>
      </w:r>
      <w:r w:rsidR="00490893">
        <w:rPr>
          <w:rFonts w:ascii="DIN 2014" w:hAnsi="DIN 2014" w:cs="Calibri"/>
          <w:sz w:val="20"/>
          <w:szCs w:val="20"/>
        </w:rPr>
        <w:t>, as in</w:t>
      </w:r>
      <w:r w:rsidRPr="0064318B">
        <w:rPr>
          <w:rFonts w:ascii="DIN 2014" w:hAnsi="DIN 2014" w:cs="Calibri"/>
          <w:sz w:val="20"/>
          <w:szCs w:val="20"/>
        </w:rPr>
        <w:t xml:space="preserve"> Worldwide </w:t>
      </w:r>
      <w:r w:rsidR="00CC4938">
        <w:rPr>
          <w:rFonts w:ascii="DIN 2014" w:hAnsi="DIN 2014" w:cs="Calibri"/>
          <w:sz w:val="20"/>
          <w:szCs w:val="20"/>
        </w:rPr>
        <w:t xml:space="preserve">and </w:t>
      </w:r>
      <w:r w:rsidR="00490893">
        <w:rPr>
          <w:rFonts w:ascii="DIN 2014" w:hAnsi="DIN 2014" w:cs="Calibri"/>
          <w:sz w:val="20"/>
          <w:szCs w:val="20"/>
        </w:rPr>
        <w:t xml:space="preserve">Refurbishment categories or in part, as in the Specialist Brickwork Contractor </w:t>
      </w:r>
      <w:r w:rsidRPr="0064318B">
        <w:rPr>
          <w:rFonts w:ascii="DIN 2014" w:hAnsi="DIN 2014" w:cs="Calibri"/>
          <w:sz w:val="20"/>
          <w:szCs w:val="20"/>
        </w:rPr>
        <w:t>category</w:t>
      </w:r>
    </w:p>
    <w:p w14:paraId="50FC2079" w14:textId="00099A8F"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Entrants must obtain the owner’s and any other relevant parties’ approval before entering a project</w:t>
      </w:r>
    </w:p>
    <w:p w14:paraId="3EFDFE5A" w14:textId="764F552C"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Projects that have previously won or been shortlisted for the Brick Awards cannot be re-entered</w:t>
      </w:r>
    </w:p>
    <w:p w14:paraId="3A0C60C6" w14:textId="182783EF"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Entrants may enter as many projects as they wish, and may submit each project into multiple categories</w:t>
      </w:r>
    </w:p>
    <w:p w14:paraId="0A7439B2" w14:textId="39DFF6E6"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Entrants shortlisted for the awards must allow members of the judging panel to visit and inspect the entered project, with reasonable notice. Refusal to do so may terminate the entry</w:t>
      </w:r>
    </w:p>
    <w:p w14:paraId="642C3F33" w14:textId="53641766"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Entrants shortlisted for the awards must allow filming of the project, with reasonable notice and if necessary, hold interviews with representatives of the design team. Refusal to do so may terminate the entry</w:t>
      </w:r>
    </w:p>
    <w:p w14:paraId="18FD21AF" w14:textId="2ACAB76E"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 xml:space="preserve">Entrants successful in shortlisting and final judging are permitted to reference the </w:t>
      </w:r>
      <w:r w:rsidR="00EE4F9D" w:rsidRPr="0064318B">
        <w:rPr>
          <w:rFonts w:ascii="DIN 2014" w:hAnsi="DIN 2014" w:cs="Calibri"/>
          <w:sz w:val="20"/>
          <w:szCs w:val="20"/>
        </w:rPr>
        <w:t>fact</w:t>
      </w:r>
      <w:r w:rsidRPr="0064318B">
        <w:rPr>
          <w:rFonts w:ascii="DIN 2014" w:hAnsi="DIN 2014" w:cs="Calibri"/>
          <w:sz w:val="20"/>
          <w:szCs w:val="20"/>
        </w:rPr>
        <w:t xml:space="preserve"> using the supplied Brick Awards logo, but in all cases, must also reference the category and ye</w:t>
      </w:r>
      <w:r w:rsidR="006C1969" w:rsidRPr="0064318B">
        <w:rPr>
          <w:rFonts w:ascii="DIN 2014" w:hAnsi="DIN 2014" w:cs="Calibri"/>
          <w:sz w:val="20"/>
          <w:szCs w:val="20"/>
        </w:rPr>
        <w:t>ar in which these were achieved</w:t>
      </w:r>
    </w:p>
    <w:p w14:paraId="780B971F" w14:textId="77777777" w:rsidR="00436C32" w:rsidRPr="0064318B" w:rsidRDefault="00436C32" w:rsidP="00436C32">
      <w:pPr>
        <w:pStyle w:val="BasicParagraph"/>
        <w:jc w:val="both"/>
        <w:rPr>
          <w:rFonts w:ascii="DIN 2014" w:hAnsi="DIN 2014" w:cs="Calibri"/>
          <w:sz w:val="20"/>
          <w:szCs w:val="20"/>
          <w:u w:val="single"/>
        </w:rPr>
      </w:pPr>
    </w:p>
    <w:p w14:paraId="292F3476" w14:textId="12FC6717" w:rsidR="00436C32" w:rsidRPr="0064318B" w:rsidRDefault="00436C32" w:rsidP="00436C32">
      <w:pPr>
        <w:pStyle w:val="BasicParagraph"/>
        <w:jc w:val="both"/>
        <w:rPr>
          <w:rFonts w:ascii="DIN 2014" w:hAnsi="DIN 2014" w:cs="Calibri"/>
          <w:sz w:val="20"/>
          <w:szCs w:val="20"/>
          <w:u w:val="single"/>
        </w:rPr>
      </w:pPr>
      <w:r w:rsidRPr="0064318B">
        <w:rPr>
          <w:rFonts w:ascii="DIN 2014" w:hAnsi="DIN 2014" w:cs="Calibri"/>
          <w:sz w:val="20"/>
          <w:szCs w:val="20"/>
          <w:u w:val="single"/>
        </w:rPr>
        <w:t>Judging process</w:t>
      </w:r>
    </w:p>
    <w:p w14:paraId="1ABC6AF9" w14:textId="6FB1822F" w:rsidR="00436C32" w:rsidRPr="0064318B" w:rsidRDefault="00436C32" w:rsidP="00436C32">
      <w:pPr>
        <w:pStyle w:val="BasicParagraph"/>
        <w:jc w:val="both"/>
        <w:rPr>
          <w:rFonts w:ascii="DIN 2014" w:hAnsi="DIN 2014" w:cs="Calibri"/>
          <w:sz w:val="20"/>
          <w:szCs w:val="20"/>
          <w:u w:val="single"/>
        </w:rPr>
      </w:pPr>
    </w:p>
    <w:p w14:paraId="767E3AC2" w14:textId="198AE60B"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Judges reserve the right to reallocate a project to a different category if they deem the category selec</w:t>
      </w:r>
      <w:r w:rsidR="006C1969" w:rsidRPr="0064318B">
        <w:rPr>
          <w:rFonts w:ascii="DIN 2014" w:hAnsi="DIN 2014" w:cs="Calibri"/>
          <w:sz w:val="20"/>
          <w:szCs w:val="20"/>
        </w:rPr>
        <w:t>ted by the entrant unsuitable</w:t>
      </w:r>
    </w:p>
    <w:p w14:paraId="3848361D" w14:textId="47BAB859"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Judges’ decisions are final and under no circumstances will any correspondence with applicants be entered into for the pu</w:t>
      </w:r>
      <w:r w:rsidR="006C1969" w:rsidRPr="0064318B">
        <w:rPr>
          <w:rFonts w:ascii="DIN 2014" w:hAnsi="DIN 2014" w:cs="Calibri"/>
          <w:sz w:val="20"/>
          <w:szCs w:val="20"/>
        </w:rPr>
        <w:t>rposes of feedback or challenge</w:t>
      </w:r>
    </w:p>
    <w:p w14:paraId="4A6D59B1" w14:textId="71F2D90C" w:rsidR="00436C32" w:rsidRPr="0064318B" w:rsidRDefault="006C1969" w:rsidP="00436C32">
      <w:pPr>
        <w:pStyle w:val="ListParagraph"/>
        <w:numPr>
          <w:ilvl w:val="0"/>
          <w:numId w:val="2"/>
        </w:numPr>
        <w:ind w:left="360"/>
        <w:jc w:val="both"/>
        <w:rPr>
          <w:rFonts w:ascii="DIN 2014" w:hAnsi="DIN 2014" w:cs="Calibri"/>
          <w:sz w:val="20"/>
          <w:szCs w:val="20"/>
        </w:rPr>
      </w:pPr>
      <w:r w:rsidRPr="0064318B">
        <w:rPr>
          <w:rFonts w:ascii="DIN 2014" w:hAnsi="DIN 2014" w:cs="Calibri"/>
          <w:sz w:val="20"/>
          <w:szCs w:val="20"/>
        </w:rPr>
        <w:t>BDA</w:t>
      </w:r>
      <w:r w:rsidR="00436C32" w:rsidRPr="0064318B">
        <w:rPr>
          <w:rFonts w:ascii="DIN 2014" w:hAnsi="DIN 2014" w:cs="Calibri"/>
          <w:sz w:val="20"/>
          <w:szCs w:val="20"/>
        </w:rPr>
        <w:t xml:space="preserve"> reserves the right to amend the categor</w:t>
      </w:r>
      <w:r w:rsidRPr="0064318B">
        <w:rPr>
          <w:rFonts w:ascii="DIN 2014" w:hAnsi="DIN 2014" w:cs="Calibri"/>
          <w:sz w:val="20"/>
          <w:szCs w:val="20"/>
        </w:rPr>
        <w:t>ies as required, without notice</w:t>
      </w:r>
    </w:p>
    <w:p w14:paraId="11954AE5" w14:textId="2173DB64" w:rsidR="006C1969" w:rsidRPr="0064318B" w:rsidRDefault="006C1969" w:rsidP="00436C32">
      <w:pPr>
        <w:pStyle w:val="ListParagraph"/>
        <w:numPr>
          <w:ilvl w:val="0"/>
          <w:numId w:val="2"/>
        </w:numPr>
        <w:ind w:left="360"/>
        <w:jc w:val="both"/>
        <w:rPr>
          <w:rFonts w:ascii="DIN 2014" w:hAnsi="DIN 2014" w:cs="Calibri"/>
          <w:sz w:val="20"/>
          <w:szCs w:val="20"/>
        </w:rPr>
      </w:pPr>
      <w:r w:rsidRPr="0064318B">
        <w:rPr>
          <w:rFonts w:ascii="DIN 2014" w:hAnsi="DIN 2014" w:cs="Calibri"/>
          <w:sz w:val="20"/>
          <w:szCs w:val="20"/>
        </w:rPr>
        <w:t>BDA reserves the right to withdraw or declare void any project that may, in its judgment, present an association with any disreputable persons or activities</w:t>
      </w:r>
    </w:p>
    <w:p w14:paraId="622A3802" w14:textId="77777777" w:rsidR="00436C32" w:rsidRPr="0064318B" w:rsidRDefault="00436C32" w:rsidP="00436C32">
      <w:pPr>
        <w:pStyle w:val="BasicParagraph"/>
        <w:jc w:val="both"/>
        <w:rPr>
          <w:rFonts w:ascii="DIN 2014" w:hAnsi="DIN 2014" w:cs="Calibri"/>
          <w:sz w:val="20"/>
          <w:szCs w:val="20"/>
        </w:rPr>
      </w:pPr>
    </w:p>
    <w:p w14:paraId="282C889C" w14:textId="77777777" w:rsidR="00436C32" w:rsidRPr="0064318B" w:rsidRDefault="00436C32" w:rsidP="00436C32">
      <w:pPr>
        <w:pStyle w:val="BasicParagraph"/>
        <w:jc w:val="both"/>
        <w:rPr>
          <w:rFonts w:ascii="DIN 2014" w:hAnsi="DIN 2014" w:cs="Calibri"/>
          <w:sz w:val="20"/>
          <w:szCs w:val="20"/>
          <w:u w:val="single"/>
        </w:rPr>
      </w:pPr>
      <w:r w:rsidRPr="0064318B">
        <w:rPr>
          <w:rFonts w:ascii="DIN 2014" w:hAnsi="DIN 2014" w:cs="Calibri"/>
          <w:sz w:val="20"/>
          <w:szCs w:val="20"/>
          <w:u w:val="single"/>
        </w:rPr>
        <w:t>Use of material</w:t>
      </w:r>
    </w:p>
    <w:p w14:paraId="43804A10" w14:textId="77777777" w:rsidR="00436C32" w:rsidRPr="0064318B" w:rsidRDefault="00436C32" w:rsidP="00436C32">
      <w:pPr>
        <w:pStyle w:val="BasicParagraph"/>
        <w:jc w:val="both"/>
        <w:rPr>
          <w:rFonts w:ascii="DIN 2014" w:hAnsi="DIN 2014" w:cs="Calibri"/>
          <w:sz w:val="20"/>
          <w:szCs w:val="20"/>
        </w:rPr>
      </w:pPr>
    </w:p>
    <w:p w14:paraId="2AD5C4F1" w14:textId="725AC199"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Without limitation, you the Entrant grant BDA the rights, free of charge and in perpetuity, so far as they are your rights to give, to use any and all information, whether by text, image or any other format, supplied by you in the course of entering the Brick Awards, for the purposes of delivering, advertising and sharing the Brick Awards and any related communications of any sort</w:t>
      </w:r>
    </w:p>
    <w:p w14:paraId="02577C35" w14:textId="15E52A2E" w:rsidR="00436C32" w:rsidRPr="0064318B" w:rsidRDefault="00436C32" w:rsidP="00436C32">
      <w:pPr>
        <w:pStyle w:val="BasicParagraph"/>
        <w:numPr>
          <w:ilvl w:val="0"/>
          <w:numId w:val="2"/>
        </w:numPr>
        <w:ind w:left="360"/>
        <w:jc w:val="both"/>
        <w:rPr>
          <w:rFonts w:ascii="DIN 2014" w:hAnsi="DIN 2014" w:cs="Calibri"/>
          <w:sz w:val="20"/>
          <w:szCs w:val="20"/>
        </w:rPr>
      </w:pPr>
      <w:r w:rsidRPr="0064318B">
        <w:rPr>
          <w:rFonts w:ascii="DIN 2014" w:hAnsi="DIN 2014" w:cs="Calibri"/>
          <w:sz w:val="20"/>
          <w:szCs w:val="20"/>
        </w:rPr>
        <w:t>Without limitation, you the Entrant grant BDA the rights, free of charge and in perpetuity, so far as they are your rights to give, to use any and all images supplied by you in  the course of entering the Brick Awards, for the purposes of general marketing and publication, in such channels as but not limited to: BDA website, the Brick Bulletin, BDA technical publications and corporate reports, social media and press activity</w:t>
      </w:r>
    </w:p>
    <w:sectPr w:rsidR="00436C32" w:rsidRPr="0064318B" w:rsidSect="00436C32">
      <w:footerReference w:type="default" r:id="rId8"/>
      <w:pgSz w:w="11900" w:h="16840"/>
      <w:pgMar w:top="567" w:right="567" w:bottom="81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19FAC" w14:textId="77777777" w:rsidR="00390EEB" w:rsidRDefault="00390EEB" w:rsidP="00E45B58">
      <w:r>
        <w:separator/>
      </w:r>
    </w:p>
  </w:endnote>
  <w:endnote w:type="continuationSeparator" w:id="0">
    <w:p w14:paraId="62039B48" w14:textId="77777777" w:rsidR="00390EEB" w:rsidRDefault="00390EEB" w:rsidP="00E4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40503050306020203"/>
    <w:charset w:val="00"/>
    <w:family w:val="roman"/>
    <w:pitch w:val="variable"/>
    <w:sig w:usb0="60000287" w:usb1="00000001" w:usb2="00000000" w:usb3="00000000" w:csb0="0000019F" w:csb1="00000000"/>
  </w:font>
  <w:font w:name="DIN 2014">
    <w:panose1 w:val="020B0504020202020204"/>
    <w:charset w:val="4D"/>
    <w:family w:val="swiss"/>
    <w:notTrueType/>
    <w:pitch w:val="variable"/>
    <w:sig w:usb0="A00002FF" w:usb1="5000204B" w:usb2="0000002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2494" w14:textId="77777777" w:rsidR="00E45B58" w:rsidRPr="0064318B" w:rsidRDefault="00E45B58" w:rsidP="00E45B58">
    <w:pPr>
      <w:pStyle w:val="Footer"/>
      <w:rPr>
        <w:rFonts w:ascii="DIN 2014" w:hAnsi="DIN 2014"/>
        <w:sz w:val="16"/>
        <w:szCs w:val="16"/>
      </w:rPr>
    </w:pPr>
    <w:r w:rsidRPr="0064318B">
      <w:rPr>
        <w:rFonts w:ascii="DIN 2014" w:hAnsi="DIN 2014"/>
        <w:sz w:val="20"/>
        <w:szCs w:val="20"/>
      </w:rPr>
      <w:t>The Brick Development Association</w:t>
    </w:r>
    <w:r w:rsidRPr="0064318B">
      <w:rPr>
        <w:rFonts w:ascii="DIN 2014" w:hAnsi="DIN 2014"/>
      </w:rPr>
      <w:t xml:space="preserve"> </w:t>
    </w:r>
    <w:r w:rsidRPr="0064318B">
      <w:rPr>
        <w:rFonts w:ascii="DIN 2014" w:hAnsi="DIN 2014"/>
        <w:sz w:val="16"/>
        <w:szCs w:val="16"/>
      </w:rPr>
      <w:t>A company limited by guarantee. Registered in England 944844. VAT registration GB 233 0371 07.</w:t>
    </w:r>
  </w:p>
  <w:p w14:paraId="3401A6E9" w14:textId="6FFDB8CE" w:rsidR="00E45B58" w:rsidRPr="0064318B" w:rsidRDefault="00E45B58">
    <w:pPr>
      <w:pStyle w:val="Footer"/>
      <w:rPr>
        <w:rFonts w:ascii="DIN 2014" w:hAnsi="DIN 20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A5BFD" w14:textId="77777777" w:rsidR="00390EEB" w:rsidRDefault="00390EEB" w:rsidP="00E45B58">
      <w:r>
        <w:separator/>
      </w:r>
    </w:p>
  </w:footnote>
  <w:footnote w:type="continuationSeparator" w:id="0">
    <w:p w14:paraId="48ED193C" w14:textId="77777777" w:rsidR="00390EEB" w:rsidRDefault="00390EEB" w:rsidP="00E45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862AD"/>
    <w:multiLevelType w:val="hybridMultilevel"/>
    <w:tmpl w:val="AD34103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A0FED"/>
    <w:multiLevelType w:val="hybridMultilevel"/>
    <w:tmpl w:val="66984E8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C0"/>
    <w:rsid w:val="000136DE"/>
    <w:rsid w:val="000511C0"/>
    <w:rsid w:val="000C2122"/>
    <w:rsid w:val="000F23A1"/>
    <w:rsid w:val="00390EEB"/>
    <w:rsid w:val="003B649E"/>
    <w:rsid w:val="00436C32"/>
    <w:rsid w:val="00490893"/>
    <w:rsid w:val="00584572"/>
    <w:rsid w:val="0064318B"/>
    <w:rsid w:val="006C1969"/>
    <w:rsid w:val="006F35E7"/>
    <w:rsid w:val="007C23E6"/>
    <w:rsid w:val="00834A73"/>
    <w:rsid w:val="00892BAD"/>
    <w:rsid w:val="00930B24"/>
    <w:rsid w:val="00B63430"/>
    <w:rsid w:val="00C961DB"/>
    <w:rsid w:val="00CC4938"/>
    <w:rsid w:val="00E45B58"/>
    <w:rsid w:val="00EE4F9D"/>
    <w:rsid w:val="00E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207C"/>
  <w14:defaultImageDpi w14:val="32767"/>
  <w15:chartTrackingRefBased/>
  <w15:docId w15:val="{87221EB9-9240-004D-854C-F8F55C04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36C32"/>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436C32"/>
    <w:pPr>
      <w:ind w:left="720"/>
      <w:contextualSpacing/>
    </w:pPr>
  </w:style>
  <w:style w:type="paragraph" w:styleId="Header">
    <w:name w:val="header"/>
    <w:basedOn w:val="Normal"/>
    <w:link w:val="HeaderChar"/>
    <w:uiPriority w:val="99"/>
    <w:unhideWhenUsed/>
    <w:rsid w:val="00E45B58"/>
    <w:pPr>
      <w:tabs>
        <w:tab w:val="center" w:pos="4513"/>
        <w:tab w:val="right" w:pos="9026"/>
      </w:tabs>
    </w:pPr>
  </w:style>
  <w:style w:type="character" w:customStyle="1" w:styleId="HeaderChar">
    <w:name w:val="Header Char"/>
    <w:basedOn w:val="DefaultParagraphFont"/>
    <w:link w:val="Header"/>
    <w:uiPriority w:val="99"/>
    <w:rsid w:val="00E45B58"/>
  </w:style>
  <w:style w:type="paragraph" w:styleId="Footer">
    <w:name w:val="footer"/>
    <w:basedOn w:val="Normal"/>
    <w:link w:val="FooterChar"/>
    <w:uiPriority w:val="99"/>
    <w:unhideWhenUsed/>
    <w:rsid w:val="00E45B58"/>
    <w:pPr>
      <w:tabs>
        <w:tab w:val="center" w:pos="4513"/>
        <w:tab w:val="right" w:pos="9026"/>
      </w:tabs>
    </w:pPr>
  </w:style>
  <w:style w:type="character" w:customStyle="1" w:styleId="FooterChar">
    <w:name w:val="Footer Char"/>
    <w:basedOn w:val="DefaultParagraphFont"/>
    <w:link w:val="Footer"/>
    <w:uiPriority w:val="99"/>
    <w:rsid w:val="00E4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2019-02-28T10:08:00Z</cp:lastPrinted>
  <dcterms:created xsi:type="dcterms:W3CDTF">2018-01-15T09:58:00Z</dcterms:created>
  <dcterms:modified xsi:type="dcterms:W3CDTF">2019-02-28T11:42:00Z</dcterms:modified>
</cp:coreProperties>
</file>